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0</wp:posOffset>
            </wp:positionV>
            <wp:extent cx="7912735" cy="10240010"/>
            <wp:effectExtent l="0" t="0" r="0" b="0"/>
            <wp:wrapNone/>
            <wp:docPr id="1" name="Изображение 1" descr="Титульны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AF3FA">
                            <a:alpha val="100000"/>
                          </a:srgbClr>
                        </a:clrFrom>
                        <a:clrTo>
                          <a:srgbClr val="FAF3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735" cy="1024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МБОУ СОШ № 11 (далее – Школа) расположена в селе Юца Предгорного муниципального округа Ставропольского края. Все обучающиеся проживают в частных домах: 83 процента − рядом со Школой, 17 процентов – осуществляется подвоз на школьном автобусе.</w:t>
      </w: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образования.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II. Оценка системы управления организацией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Органы управления, действующие в Школе</w:t>
      </w:r>
    </w:p>
    <w:tbl>
      <w:tblPr>
        <w:tblStyle w:val="3"/>
        <w:tblW w:w="88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9"/>
        <w:gridCol w:w="63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32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 w:line="255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32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 подразделений организации, утверждает штатное расписание, отчетные документы организации, осуществляет общее руководство Школой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9" w:type="dxa"/>
            <w:tcBorders>
              <w:left w:val="single" w:color="222222" w:sz="6" w:space="0"/>
              <w:bottom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632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4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определение основных направлений программы развития Школы;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содействие созданию в Школе оптимальных условий и форм организации образовательного процесса;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 xml:space="preserve">контроль за соблюдением здоровых и безопасных условий обучения, воспитания и труда.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9" w:type="dxa"/>
            <w:tcBorders>
              <w:left w:val="single" w:color="222222" w:sz="6" w:space="0"/>
              <w:bottom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32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4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осуществление самоуправленческих начал;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развитие инициативы коллектива;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воплощение в жизнь государственно-общественных принципов управления.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9" w:type="dxa"/>
            <w:tcBorders>
              <w:left w:val="single" w:color="222222" w:sz="6" w:space="0"/>
              <w:bottom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632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4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обсуждение новой редакции Устава, изменения и дополнения в Устав Школы;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обсуждение и принятие Коллективного договора, Правил внутреннего трудового распорядка, иных локальных актов, содержащих  нормы трудового права;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выдвижение коллективных требований работников Школы;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выдвижение кандидатов в Управляющий совет Школы.</w:t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Для осуществления учебно-методической работы в Школе создано семь предметных методических объединений: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русского языка и литературы;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иностранного языка;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биологии, химии, географии, экологии;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технологии, физической культуры, ОБЖ, музыки;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начальных классов;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МО учителей математики и физики; </w:t>
      </w:r>
    </w:p>
    <w:p>
      <w:pPr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МО классных руководителей.</w:t>
      </w: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По итогам 2023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spacing w:after="15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III. Оценка образовательной деятельности</w:t>
      </w:r>
    </w:p>
    <w:p>
      <w:pPr>
        <w:spacing w:after="0" w:line="240" w:lineRule="auto"/>
        <w:ind w:firstLine="113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Образовательная деятельность в Школе организуется в соответствии с  </w:t>
      </w:r>
      <w:r>
        <w:fldChar w:fldCharType="begin"/>
      </w:r>
      <w:r>
        <w:instrText xml:space="preserve"> HYPERLINK "https://vip.1obraz.ru/" \l "/document/99/902389617/"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Федеральным законом от 29.12.2012 № 273-ФЗ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 «Об образовании в Российской Федерации», ФГОС начального общего, основного общего и среднего общего образования,  </w:t>
      </w:r>
      <w:r>
        <w:fldChar w:fldCharType="begin"/>
      </w:r>
      <w:r>
        <w:instrText xml:space="preserve"> HYPERLINK "https://vip.1obraz.ru/" \l "/document/99/902256369/"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СанПиН 2.4.2.2821-10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>
      <w:pPr>
        <w:spacing w:after="0" w:line="240" w:lineRule="auto"/>
        <w:jc w:val="both"/>
        <w:rPr>
          <w:rStyle w:val="18"/>
          <w:rFonts w:asciiTheme="majorBidi" w:hAnsiTheme="majorBidi" w:cstheme="majorBidi"/>
          <w:sz w:val="28"/>
          <w:szCs w:val="28"/>
        </w:rPr>
      </w:pPr>
      <w:r>
        <w:rPr>
          <w:rStyle w:val="18"/>
          <w:rFonts w:asciiTheme="majorBidi" w:hAnsiTheme="majorBidi" w:cstheme="majorBidi"/>
          <w:sz w:val="28"/>
          <w:szCs w:val="28"/>
        </w:rPr>
        <w:t xml:space="preserve">                 Учебный план Муниципального бюджетного общеобразовательного учреждения «Средняя общеобразовательная школа №11» Предгорного муниципального округа Ставропольского края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8"/>
          <w:rFonts w:asciiTheme="majorBidi" w:hAnsiTheme="majorBidi" w:cstheme="majorBidi"/>
          <w:sz w:val="28"/>
          <w:szCs w:val="28"/>
        </w:rPr>
        <w:t>(далее - учебный план), реализует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8"/>
          <w:rFonts w:asciiTheme="majorBidi" w:hAnsiTheme="majorBidi" w:cstheme="majorBidi"/>
          <w:sz w:val="28"/>
          <w:szCs w:val="28"/>
        </w:rPr>
        <w:t>).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образовательной организации наиболее эффективна, тогда, когда она системна и интегрирована в основные виды деятельности обучающихся: урочную, внеурочную, внешкольную и общественно- полезную.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такому принципу в МБОУ СОШ № 11 реализуется рабочая программа воспитания, конкретизируют воспитательную деятельность календарные планы воспитательной работы по уровням образования НОО, ООО и СОО.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>
          <w:pgSz w:w="11906" w:h="16838"/>
          <w:pgMar w:top="284" w:right="851" w:bottom="1134" w:left="1418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программе воспитания 14 модулей. 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Инвариантные (обязательные) модули (12)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Общешкольные дела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Профориентация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Взаимодействие  с родителями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Учебная деятельность  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Внеурочная деятельность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Самоуправление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Классное руководство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Предметно-пространственная среда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Внешкольные мероприятия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Профилактика, безопасность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Социальное партнерство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Детские общественные объединения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Вариативные модули ( 2)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Школьные медиа</w:t>
      </w:r>
    </w:p>
    <w:p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Школьные музеи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9" w:num="1"/>
          <w:docGrid w:linePitch="360" w:charSpace="0"/>
        </w:sectPr>
      </w:pP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Магистральным направлением воспитательной работы школы является духовно-нравственное и патриотическое воспитание школьников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9" w:num="2"/>
          <w:docGrid w:linePitch="360" w:charSpace="0"/>
        </w:sectPr>
      </w:pP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Цель воспитания в школе – воспитание  здоровой, духовно - развитой личности,      с активной гражданской    позицией, сопричастной к    делам и достижениям  старших поколений,     готовой к активному участию   в различных сферах жизни общества.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и формы организации совместной воспитательной деятельности педагогов, школьников и их родителей разнообразны,  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создана вся нормативно-правовая база для воспитательной деятельности. Все локальные акты обновлены с изменениями воспитательной концепции образования с 2022 -  2023 г.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штат школы введена новая единица Советник директора по воспитанию и взаимодействию с общественными объединениями Кулаченко Мария Викторовна, которая вместе с заместителем директора по ВР  будет заниматься организацией воспитательного пространства школы.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организован Центр детских инициатив (пока, из-за нехватки помещений,  он находится в кабинете № 5)  ЦДМ это место встречи Совета старшеклассников,  Лидеров «Движения первых» и других детских общественных организаций.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Советник директора работает по своему плану, который органично вливается в программу воспитания школы.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первого полугодия воспитательных событий в школе стало больше, на 20%, а онлайн активностей увеличилось на 40%.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конкурсном движении  задействована все классы  школы.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в школе работают три больших информационных онлайн канала: сайт школы </w:t>
      </w:r>
      <w:r>
        <w:fldChar w:fldCharType="begin"/>
      </w:r>
      <w:r>
        <w:instrText xml:space="preserve"> HYPERLINK "https://sh11-yuca-r07.gosweb.gosuslugi.ru/"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https://sh11-yuca-r07.gosweb.gosuslugi.ru/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группа школы  Вконтакте </w:t>
      </w:r>
      <w:r>
        <w:fldChar w:fldCharType="begin"/>
      </w:r>
      <w:r>
        <w:instrText xml:space="preserve"> HYPERLINK "https://vk.com/mboysoh11"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https://vk.com/mboysoh11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группа ВК навиаторы детства </w:t>
      </w:r>
      <w:r>
        <w:fldChar w:fldCharType="begin"/>
      </w:r>
      <w:r>
        <w:instrText xml:space="preserve"> HYPERLINK "https://vk.com/club206836846"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https://vk.com/club206836846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где ежедневно  выкладываются новости школы.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Еженедельно, согласно плану работы школы и Советника, обновляются стенды.  По материалам стендов регулярно по графику проводятся экскурсии, Советником, учителями истории. Работа проводится по общему плану.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Советником была  поставлена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выстроить систему работы со всеми  детскими общественными  объединения , по итогам первого полугодия эта работа завершена на удовлетворительном уровне.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50% школьников состоят в РДДМ «Движения первых», мероприятий проводятся совместно с РДДМ, отрядами юнармии и «Волонтеры победы».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2023-2024 учебного года в нашей школе разработан план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Профминимума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реализуется он по следующим направлениям: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это  пятиминутки, в которых при изучении темы урока обучающихся получают, короткую  информации о профессии именно эта информация мотивирует учащегося к более глубокому изучению вопроса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Внеурочная деятельность-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Еженедельно по четвергам для 6-11 классов проводилось внеурочное занятие «Россия- мои горизонты».  Чередовались разные формы занятий экскурсии, встречи с людьми интересных профессий и занятия в кабинетах или онлайн, используя интернет площадку «Россия - мои горизонты»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участие в различных конкурсах и мероприятиях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Связанных с получением каких-либо навыков или знаний о различных профессиях.   Интеллектуальный турнир «Марафон профессий», экскурсии для малышей в музыкальную школу, экскурсии на работу к папам и другие.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Профориентационная работа в ОО начинается с начальной школы, проводятся уроки знакомств с профессиями, которыми владеют родители учеников.  Начиная с 7 класса, в практику профориентационной работы школы вошли: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проведение предметных недель; (Октябрь, Март)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встречи со специалистами службы занятости; (сентябрь, 2 встречи)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-общешкольные профориентационных мероприятия: часы общения, беседы, круглые столы, классные часы, например: «Формула профессии»;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«Изучение личностных особенностей и способностей учащихся». (По плану классных руководителей)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посещение театральной студии, вокального кружка, спортивных секций школы и города, получение дополнительного образования в музыкальных и художественных школах города.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родителями и законными представителями.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собрания, экскурсии в театры, музеи и походы по знаменательным местам Ставропольского края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профминимума проводится согласно плану и не требует корректировки.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2023 года в школу введено также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утверждена та сфера деятельности, которая возможна для трудовой деятельности школьников разных возрастов.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трудовые активности были согласованы с Управляющим советом школы. Проблем приобщения детей к труду в школе не возникали. Родители с должным вниманием и согласием приняли нововведения.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Уборка кабинетов, изготовление окопных свечей, сбор макулатуры, уборка дворовой территории школы осенне-весеннее время и работа на клумбах. Субботники, в том, числе на прикрепленной территории села Юца. Работа с книжным фондом школы.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рабочей программы воспитания </w:t>
      </w:r>
    </w:p>
    <w:p>
      <w:pPr>
        <w:spacing w:line="360" w:lineRule="auto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создано </w:t>
      </w:r>
      <w:r>
        <w:rPr>
          <w:rFonts w:ascii="Times New Roman" w:hAnsi="Times New Roman" w:eastAsia="Arial Unicode MS" w:cs="Times New Roman"/>
          <w:b/>
          <w:sz w:val="28"/>
          <w:szCs w:val="28"/>
        </w:rPr>
        <w:t>МО классных руководителей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, оно включает 25 классных руководителей. </w:t>
      </w:r>
    </w:p>
    <w:p>
      <w:pPr>
        <w:spacing w:line="360" w:lineRule="auto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Классные руководители были постоянными участниками региональных и всероссийских вебинаров, посещали школьные семинары, проводимые заместителем директора по ВР и руководителем МО по вопросам воспитания.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МБОУ СОШ № 11 - 27 классных коллективов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звено - 12 </w:t>
      </w:r>
    </w:p>
    <w:p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(5-8 классы) - 11</w:t>
      </w:r>
    </w:p>
    <w:p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(9-11 классы)- 4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среднем, в каждом классе за год было проведено 12-14 внеклассных мероприятий по образовательным событиям года.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по понедельникам все классные руководители проводили внеурочной занятие «Разговоры о важном» (первый урок) В рамках курса внеурочной деятельности «Разговоры о важном» происходит знакомство обучающихся с государственными праздниками РФ и государственными символами РФ, образовательными и культурными событиями страны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Регулярно проводились часы общения, по различным темам знаменательных дат страны.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работает в тесном </w:t>
      </w:r>
      <w:r>
        <w:rPr>
          <w:rFonts w:ascii="Times New Roman" w:hAnsi="Times New Roman" w:cs="Times New Roman"/>
          <w:b/>
          <w:sz w:val="28"/>
          <w:szCs w:val="28"/>
        </w:rPr>
        <w:t>сотрудничестве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 создан родительский комитет, который принимает активное участие в делах школы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Классные руководители совмещали работу с родителями онлайн и офлайн. Наиболее активно решались вопросы в ( 1-х,  5-х, 9-х и 11) классах.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Инструктажи, рекомендации и информация об учебе детей во всех классах доносилась своевременно.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положительным моментам воспитательной работе в классах можно отнести и следующие показатели: 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Психологический климат в классе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  комфортный</w:t>
      </w:r>
      <w:r>
        <w:rPr>
          <w:rFonts w:ascii="Times New Roman" w:hAnsi="Times New Roman" w:cs="Times New Roman"/>
          <w:color w:val="000000"/>
          <w:sz w:val="28"/>
          <w:szCs w:val="28"/>
        </w:rPr>
        <w:t>. ( опрос детей и родителей)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Буллинг в классах </w:t>
      </w:r>
      <w:r>
        <w:rPr>
          <w:rFonts w:ascii="Times New Roman" w:hAnsi="Times New Roman" w:cs="Times New Roman"/>
          <w:b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или единичные случаи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сразу же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пресекаются классными руководителями, учителями, администрацией (по наблюдению социально-психологической службы, и минимуму  жалоб от детей и родителей на агрессию одноклассников)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Главным органом </w:t>
      </w:r>
      <w:r>
        <w:rPr>
          <w:rFonts w:ascii="Times New Roman" w:hAnsi="Times New Roman" w:cs="Times New Roman"/>
          <w:b/>
          <w:sz w:val="28"/>
          <w:szCs w:val="28"/>
        </w:rPr>
        <w:t>школьного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 ДО «Ветер перемен»</w:t>
      </w:r>
    </w:p>
    <w:p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Возглавляет его председатель   Совета старшеклассников (Председатель Степанян Кристина Хореновна, ученица 10-го класса), срок полномочий: 1 год 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8" w:num="1"/>
          <w:docGrid w:linePitch="360" w:charSpace="0"/>
        </w:sect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Состав: Учебный комитет, Комитет по культуре:, Комитет по спорту   и здоровью, Комитет  по безопасности , Комитет спорта и здоровья,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9" w:num="1"/>
          <w:docGrid w:linePitch="360" w:charSpace="0"/>
        </w:sect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Школьное самоуправление находится в тесной связи с детскими общественными объединениями: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167 - РДДМ «Движение первых»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21 - Орлята России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50  - участники волонтерского отряда школы, которые успешно прошли регистрацию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15 - юнармейский отряд ВПК «Рысь», для организации школьных линеек, на базе отряда, организованы школьные знаменные группы по уровням образования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Неизменно по инициативе Ученического Совета проводится множество мероприятий: проведение Дня Учителя, мероприятия к Дню Защитников Отечества, 8 марта. К ним прибавились оформление стенда на 1 этаже. А также участие в патриотических акциях в поддержку СВО на Донбассе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Ни что так не содействует сплочению детского коллектива, как общешкольные ключевые дела.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2023 году главными событиями были: Год педагога и наставника. Весь год обучающиеся школы участвовали в акции «Спасибо учитель» и других онлайн активностях посвященных педагогам.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которые были направлены на помощь бойцам СВО, также были основными в этом году в школе.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Акции: «Письмо солдату» и  «Тепло солдату» , сбор гуманитарных грузов с теплыми вещами и изготовление и отправка окопных свечей.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1 сентября 2022-2023 учебного года обучающиеся школы начали изучать государственные символы РФ. Во всех классах, с 1-го по 11-й, было организовано знакомство с историей возникновения государственных символов. Обучающиеся 1–4-х классов – в рамках предмета «Окружающий мир», 5–11-х классов – «Обществознание». Работа была организована учителями начальных классов и учителями истории и обществознания.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1–11-х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декабря)..  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Мероприятия духовно-нравственного содержания были и остаются в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Самыми любимыми мероприятиями (почти 100% участие школьных коллективов), по-прежнему являются: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знаний сентябрь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учителя в школе, был, посвящен году педагогу и наставнику. 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«Золотая осень» (начальная школа)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памяти «День неизвестного солдата»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освобождения города Ливны от немецко-фашистских захватчиков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Новогодние торжества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памяти «Блокада Ленинграда»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месячника гражданского и патриотического воспитания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Марта в школе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нравственного воспитания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«Спешите делать добрые дела».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«Крымская весна»,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космонавтики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Победы, Бессмертный полк 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Кинолектории «Без срока давности»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«Последний звонок»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</w:t>
      </w:r>
    </w:p>
    <w:p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акции в течение всего года.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Большая часть мероприятий проводимы в МБОУ СОШ № 11 в настоящее время являются Всероссийскими, региональными акциями или конкурсами, и все классные коллективы подключены к этим  мероприятиям.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Наглядной агитации, брендированию и 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 в школе отводится особая роль.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каждом классе и на каждом этаже школы существуют стенды, в которых возможны  сменные экспозиций.  Используется технология  событийного дизайна  (День осени,  День учителя, Новый год,  День Победы, Окна победы и т.д. )  В течение года учащиеся классов по очереди оформляют стенд на 1 этаже.</w:t>
      </w:r>
    </w:p>
    <w:p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коридорах школы разбиты зеленые зоны (зимний сад ), школьники принимают активное участие в пересадке растений и уходом за ними.</w:t>
      </w:r>
    </w:p>
    <w:p>
      <w:pPr>
        <w:numPr>
          <w:ilvl w:val="0"/>
          <w:numId w:val="8"/>
        </w:numPr>
        <w:tabs>
          <w:tab w:val="left" w:pos="0"/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обучающиеся 8-11 классов принимают  участие в озеленении и благоустройстве территории школы. Разбиты три большие клумбы.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Безопасности школьников и профилактике вредных привычек уделяется огромное внимание.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школе действует Совет по профилактике безнадзорности и   правонарушений несовершеннолетних, его цель: создание условий для профилактики безнадзорности и правонарушений среди обучающихся школы. Ведется ежедневный контроль за посещением обучающимися занятий, анализируются  пропуски уроков и их причины. Отсутствие в школе конфликтов, в том числе на национальной почве, достигается систематической работой по профилактике правонарушений, проявлений экстремизма и ксенофобии, через систему классных часов, единых информационных дней, интегрированных уроков, индивидуальных бесед с обучающимися.</w:t>
      </w:r>
    </w:p>
    <w:p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практике работы беседы, лектории, тренинги родительские лектории (4)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было проведено 27 бесед  с детьми на различные темы)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2023 году с 7-ого по 11-ый классах были проведены кинолектории о вреде электронных сигарет.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Процесс анкетирование и диагностика с согласия родителей непрерывно проводится с обучающимися (изучается школьная тревожность, предрасположенность к употреблению наркотических средств и др.)  В вызывает тревогу, что в 2023 году по итогам диагностики выявлены  обучающихся склонные к употреблению наркотических средств ( в 2022 году не были выявлены)  Обучающиеся взяты под строгий контроль проведена индивидуальная  работа с каждым ребенком группы риска.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Особое внимание уделяется пропаганде здорового образа жизни. В рамках просветительской работы в различных формах проводились мероприятия, связанные со здоровым образом жизни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Этому способствовало и планирование мероприятий спортивного клуба школы.  К традиционными мероприятиями, направленными на формирование здоровогообраза жизни являются: общешкольный осенний легкоатлетический кросс, Президентские состязания, первенства школы по баскетболу, волейболу, пионерболу, спортивные игры «Веселые старты для школьников 1-4 классов»,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Дни здоровья, акции «Наше здоровье – в наших руках», «Я и моя безопасность», «Быть здоровым – это здорово!».</w:t>
      </w: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оздоровлению обучающихся проводилась и в летний период на базе школьного детского оздоровительного лагеря с дневным пребыванием «Школа волшебников». В 2023 году в лагере «Школа волшебников» пребывало 105 человек. Начальники школьного лагеря «Школа волшебников» Короткова Лариса Ивановна и Жалыбина Надежда Николаевна успешно справились с задачей  по оздоровлению детей.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1" w:bottom="1134" w:left="1418" w:header="709" w:footer="709" w:gutter="0"/>
          <w:cols w:space="709" w:num="1"/>
          <w:docGrid w:linePitch="360" w:charSpace="0"/>
        </w:sect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 принимают активное  участие в конкурсном олимпиадном движении.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мероприятиях различного  уровня приняли участие  все учащиеся школы  учащихся (100%). Однако в конкурсном движении , есть тенденция участия одних и тех же детей. Это есть главный недостаток организации конкурсного движения в школе.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активное участие в соревнованиях, конкурсах, выставках разного уровня принимают учащиеся начального звена и 5-х классов ( 76%).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30% больше, чем по итогам 2022 года. Увеличение связано с тем, что закончилось дистанционное образование, начались очные конкурсы и введена должность Советника директора по воспитанию и по линии работы Навигаторы детства предлагаются дополнительные конкурсы, в большей степени онлайн активности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этом наибольшее число участников наблюдается в мероприятиях муниципального уровня (146 чел. /40%). И всероссийского уровня (онлайн конкурсы и олимпиады) 37 %.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выявлено, что в среднем 96% участников образовательных отношений выразили удовлетворенность качеством воспитательной деятельности.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Качеством условий организации воспитательной деятельности школе удовлетворены 91% участников образовательных отношений.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Большинство участников образовательных отношений удовлетворены воспитательной деятельностью школы и микроклиматом школы.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Эти показатели остаются на уровне прошлого года  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педагогического коллектива по духовно-нравственному и 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работы показал, что  отклонений от календарного графика работы есть, но в сторону увеличения мероприятий за счет добавления Всероссийских акций связанных со СВО на Донбассе  и работой Советника по воспитанию и взаимодействию общественными обьединениями.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воспитательную работу школы следует признать удовлетворительной.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планах воспитательной работы 2024 года добавление в программу воспитания мероприятий посвященных году семьи.</w:t>
      </w:r>
    </w:p>
    <w:p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IV. Содержание и качество подготовки</w:t>
      </w:r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Статистика показателей за 2020–2023 годы</w:t>
      </w: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3510"/>
        <w:gridCol w:w="1332"/>
        <w:gridCol w:w="1332"/>
        <w:gridCol w:w="1332"/>
        <w:gridCol w:w="1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65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222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об основном общем образовании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Профильного и углубленного обучения в МБОУ СОШ № 11 нет. 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с ОВЗ в 2023 году - 1 чел. и инвалидностью – 10 человек.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 году Школа продолжает успешно реализовывать рабочие программы  «Родной язык: русский», «Родная литература: русская», которые внесли в основные образовательные программы основного общего и среднего общего образования в 2019 году. </w:t>
      </w:r>
    </w:p>
    <w:p>
      <w:pPr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2023 году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709"/>
        <w:gridCol w:w="709"/>
        <w:gridCol w:w="808"/>
        <w:gridCol w:w="751"/>
        <w:gridCol w:w="709"/>
        <w:gridCol w:w="709"/>
        <w:gridCol w:w="708"/>
        <w:gridCol w:w="709"/>
        <w:gridCol w:w="567"/>
        <w:gridCol w:w="567"/>
        <w:gridCol w:w="520"/>
        <w:gridCol w:w="614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5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7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23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0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2023 году с результатами освоения учащимися программ начального общего образования по показателю «успеваемость» в 2022 году, то можно отметить, что процент учащихся, окончивших на «4» и «5», уменьшился на 2, процента (в 2022 был 42 %), процент учащихся, окончивших на «5», вырос на 3 процента (в 2022 – 12%).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 показателю «успеваемость» в 2023 году</w:t>
      </w:r>
    </w:p>
    <w:p>
      <w:pPr>
        <w:spacing w:after="150" w:line="240" w:lineRule="auto"/>
        <w:jc w:val="center"/>
        <w:rPr>
          <w:rFonts w:ascii="Arial" w:hAnsi="Arial" w:eastAsia="Times New Roman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tbl>
      <w:tblPr>
        <w:tblStyle w:val="3"/>
        <w:tblW w:w="9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709"/>
        <w:gridCol w:w="709"/>
        <w:gridCol w:w="808"/>
        <w:gridCol w:w="751"/>
        <w:gridCol w:w="709"/>
        <w:gridCol w:w="709"/>
        <w:gridCol w:w="708"/>
        <w:gridCol w:w="709"/>
        <w:gridCol w:w="567"/>
        <w:gridCol w:w="567"/>
        <w:gridCol w:w="520"/>
        <w:gridCol w:w="614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5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7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23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0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2023 году с результатами освоения учащимися программ основного общего образования по показателю «успеваемость» в 2022 году, то можно отметить, что процент учащихся, окончивших на «4» и «5», увеличился на 1 процент (в 2022 был 33%), процент учащихся, окончивших на «5», понизился  на 1 процент  (в 2022 – 8%).</w:t>
      </w:r>
    </w:p>
    <w:p>
      <w:pPr>
        <w:spacing w:after="150" w:line="240" w:lineRule="auto"/>
        <w:jc w:val="both"/>
        <w:rPr>
          <w:rFonts w:ascii="Arial" w:hAnsi="Arial" w:eastAsia="Times New Roman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tbl>
      <w:tblPr>
        <w:tblStyle w:val="3"/>
        <w:tblW w:w="10057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709"/>
        <w:gridCol w:w="575"/>
        <w:gridCol w:w="701"/>
        <w:gridCol w:w="717"/>
        <w:gridCol w:w="708"/>
        <w:gridCol w:w="567"/>
        <w:gridCol w:w="701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55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68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268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222222" w:sz="6" w:space="0"/>
              <w:right w:val="single" w:color="222222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Сменили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</w:t>
            </w:r>
          </w:p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222222" w:sz="6" w:space="0"/>
              <w:bottom w:val="single" w:color="auto" w:sz="4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4" w:space="0"/>
              <w:right w:val="single" w:color="222222" w:sz="6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55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222222" w:sz="6" w:space="0"/>
              <w:bottom w:val="single" w:color="222222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5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color="222222" w:sz="6" w:space="0"/>
              <w:right w:val="single" w:color="222222" w:sz="6" w:space="0"/>
            </w:tcBorders>
            <w:vAlign w:val="bottom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spacing w:after="150" w:line="240" w:lineRule="auto"/>
        <w:jc w:val="center"/>
        <w:rPr>
          <w:rFonts w:ascii="Arial" w:hAnsi="Arial" w:eastAsia="Times New Roman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учащимися программ среднего общего образования по показателю «успеваемость» в 2023 учебном году выросли на 3 процент (в 2022 количество обучающихся, которые закончили полугодие на «4» и «5», было 49%), процент учащихся, окончивших на «5», увеличился на 5 процентов  (в 2022 было 19%).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сдачи ЕГЭ 2023 года</w:t>
      </w:r>
    </w:p>
    <w:tbl>
      <w:tblPr>
        <w:tblStyle w:val="3"/>
        <w:tblW w:w="10065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43"/>
        <w:gridCol w:w="759"/>
        <w:gridCol w:w="759"/>
        <w:gridCol w:w="759"/>
        <w:gridCol w:w="759"/>
        <w:gridCol w:w="850"/>
        <w:gridCol w:w="759"/>
        <w:gridCol w:w="759"/>
        <w:gridCol w:w="1259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 ПУ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Литература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обучающихся, сдававших ЕГЭ по предмету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балл по школе по предмету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52,50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обучающихся, не преодолевших порог по предмету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обучающихся, показавших высокие результаты по предмету (более 75 баллов)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 обучающихся, показавших высокие результаты по предмету (более 75 баллов)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высокобальных работ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 высокобальных работ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22,2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</w:tbl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Сравнительный анализ ЕГЭ за три года</w:t>
      </w:r>
    </w:p>
    <w:tbl>
      <w:tblPr>
        <w:tblStyle w:val="3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27"/>
        <w:gridCol w:w="1589"/>
        <w:gridCol w:w="158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предмета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уч. год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2021-2022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уч. год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уч.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76,25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72,1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Математика базовая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3,9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Математика профильная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59,2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История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Физика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79,33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52,5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Английский язык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66,7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58,75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45,5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57,4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50,3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Литература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Информатика и ИКТ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2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Средний балл по школе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174,83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176,9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</w:tbl>
    <w:p>
      <w:pPr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Анализ результатов государственной итоговой аттестации</w:t>
      </w:r>
    </w:p>
    <w:p>
      <w:pPr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 в 2022 – 2023 учебном  году</w:t>
      </w:r>
    </w:p>
    <w:tbl>
      <w:tblPr>
        <w:tblStyle w:val="17"/>
        <w:tblW w:w="949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78"/>
        <w:gridCol w:w="2663"/>
        <w:gridCol w:w="215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Класс </w:t>
            </w:r>
          </w:p>
        </w:tc>
        <w:tc>
          <w:tcPr>
            <w:tcW w:w="2078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663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Получили аттестат о среднем  общем образовании особого образца</w:t>
            </w:r>
          </w:p>
        </w:tc>
        <w:tc>
          <w:tcPr>
            <w:tcW w:w="2155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Получили аттестат о среднем общем образовании </w:t>
            </w:r>
          </w:p>
        </w:tc>
        <w:tc>
          <w:tcPr>
            <w:tcW w:w="1575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Получили справку об обучении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11 </w:t>
            </w:r>
          </w:p>
        </w:tc>
        <w:tc>
          <w:tcPr>
            <w:tcW w:w="2078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</w:tr>
    </w:tbl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результатов ЕГЭ – 2023 показывает уменьшение среднего балла по предметам, выбранным для сдачи</w:t>
      </w:r>
    </w:p>
    <w:p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сдачи ОГЭ 2023 года</w:t>
      </w:r>
    </w:p>
    <w:p>
      <w:pPr>
        <w:jc w:val="both"/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  <w:t xml:space="preserve">В 2022-2023 учебном году к ГИА были допущены 46 из 47 обучающихся 9-х классов, не имеющих академической задолженности и в полном объеме выполнивших учебный план.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86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Кол-во выбравших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Русский язык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Биология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Физика 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История 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Обществознание 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Информатика 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86" w:type="dxa"/>
          </w:tcPr>
          <w:p>
            <w:pPr>
              <w:tabs>
                <w:tab w:val="left" w:pos="3720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Английский язык</w:t>
            </w:r>
          </w:p>
        </w:tc>
        <w:tc>
          <w:tcPr>
            <w:tcW w:w="1497" w:type="dxa"/>
          </w:tcPr>
          <w:p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  <w:t>Анализ результатов экзаменов обучающихся за курс основного общего образования.</w:t>
      </w:r>
    </w:p>
    <w:tbl>
      <w:tblPr>
        <w:tblStyle w:val="17"/>
        <w:tblW w:w="91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4"/>
        <w:gridCol w:w="2237"/>
        <w:gridCol w:w="2359"/>
        <w:gridCol w:w="20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2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Класс </w:t>
            </w:r>
          </w:p>
        </w:tc>
        <w:tc>
          <w:tcPr>
            <w:tcW w:w="1704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237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Получили аттестат об основном общем образовании особого образца</w:t>
            </w:r>
          </w:p>
        </w:tc>
        <w:tc>
          <w:tcPr>
            <w:tcW w:w="2359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Получили аттестат об основном общем образовании </w:t>
            </w:r>
          </w:p>
        </w:tc>
        <w:tc>
          <w:tcPr>
            <w:tcW w:w="2045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Допущены к аттестации в дополнительный период </w:t>
            </w:r>
          </w:p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(осень 2023)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9 </w:t>
            </w:r>
          </w:p>
        </w:tc>
        <w:tc>
          <w:tcPr>
            <w:tcW w:w="1704" w:type="dxa"/>
          </w:tcPr>
          <w:p>
            <w:pPr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46</w:t>
            </w:r>
          </w:p>
        </w:tc>
        <w:tc>
          <w:tcPr>
            <w:tcW w:w="2237" w:type="dxa"/>
          </w:tcPr>
          <w:p>
            <w:pPr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>
            <w:pPr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42</w:t>
            </w:r>
          </w:p>
        </w:tc>
        <w:tc>
          <w:tcPr>
            <w:tcW w:w="2045" w:type="dxa"/>
          </w:tcPr>
          <w:p>
            <w:pPr>
              <w:contextualSpacing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 w:eastAsiaTheme="minorEastAsia"/>
          <w:sz w:val="24"/>
          <w:szCs w:val="24"/>
          <w:shd w:val="clear" w:color="auto" w:fill="FFFFFF"/>
        </w:rPr>
      </w:pPr>
    </w:p>
    <w:p>
      <w:pPr>
        <w:ind w:firstLine="567"/>
        <w:jc w:val="both"/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На основании проведенного анализа можно сделать вывод, что подготовка к государственной (итоговой) аттестации со стороны учителей школы проводится на удовлетворительном уровне, необходимо создавать условия для более качественной подготовки учащихся к ГИА, вести целенаправленную работу в решении данной проблемы. 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 году учащиеся 9-х классов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Востребованность выпускников</w:t>
      </w: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599"/>
        <w:gridCol w:w="725"/>
        <w:gridCol w:w="1192"/>
        <w:gridCol w:w="1030"/>
        <w:gridCol w:w="600"/>
        <w:gridCol w:w="1008"/>
        <w:gridCol w:w="1654"/>
        <w:gridCol w:w="1072"/>
        <w:gridCol w:w="826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1865" w:type="pct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714" w:type="pct"/>
            <w:gridSpan w:val="5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627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542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6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ВУЗ</w:t>
            </w:r>
          </w:p>
        </w:tc>
        <w:tc>
          <w:tcPr>
            <w:tcW w:w="87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64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Устроились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43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Пошли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срочную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службу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призыву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6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>
      <w:pPr>
        <w:pStyle w:val="15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утверждено  </w:t>
      </w:r>
      <w:r>
        <w:fldChar w:fldCharType="begin"/>
      </w:r>
      <w:r>
        <w:instrText xml:space="preserve"> HYPERLINK "https://vip.1obraz.ru/" \l "/document/118/30289/"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 о внутренней системе оценки качества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  от 31.08.2022. По итогам оценки качества образования в 2022 году выявлено, что уровень метапредметных результатов соответствуют среднему уровню, сформированность личностных результатов  высокая.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анкетирования 2022 года выявлено, что количество родителей, которые удовлетворены качеством образования в Школе, – 97 процента, количество обучающихся, удовлетворенных образовательным процессом, – 97 процентов. 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кадрового обеспечения</w:t>
      </w:r>
    </w:p>
    <w:p>
      <w:pPr>
        <w:pStyle w:val="15"/>
        <w:ind w:left="108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период самообследования в Школе работают 32 педагог, из них 10 – внутренних совместителей. Из них 1 человек имеет среднее образование и обучается в вуз.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кадровой политики направлены: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повышения уровня квалификации персонала.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 </w:t>
      </w:r>
      <w:r>
        <w:fldChar w:fldCharType="begin"/>
      </w:r>
      <w:r>
        <w:instrText xml:space="preserve"> HYPERLINK "https://vip.1obraz.ru/" \l "/document/16/4019/"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повышению квалификации педагогов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pStyle w:val="1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31 педагогического работника Школы 29 соответствуют квалификационным требованиям профстандарта «Педагог». 1 работник заочно обучаются по профессиональной образовательной программе высшего образования (уровень бакалавриат) по направлению подготовки 44.03.01 Педагогическое образование. 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VIII. Оценка учебно-методического и библиотечно-информационного обеспечения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Общая характеристика: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библиотечного фонда – 20601 единиц;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книгообеспеченность – 100 процентов;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обращаемость – 5610единиц в год;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учебного фонда – 12413 единиц.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Фонд библиотеки формируется за счет федерального, регионального, местного бюджетов.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 фонда и его использование:</w:t>
      </w:r>
    </w:p>
    <w:tbl>
      <w:tblPr>
        <w:tblStyle w:val="1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113"/>
        <w:gridCol w:w="18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10612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8071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889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52" w:type="dxa"/>
          </w:tcPr>
          <w:p>
            <w:pPr>
              <w:pStyle w:val="15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r>
        <w:fldChar w:fldCharType="begin"/>
      </w:r>
      <w:r>
        <w:instrText xml:space="preserve"> HYPERLINK "https://vip.1obraz.ru/" \l "/document/97/476512/"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 Минпросвещения России от 28.12.2018 № 345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библиотеке имеются электронные образовательные ресурсы - 168 шт.  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Средний уровень посещаемости библиотеки – 32 человека в день.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 </w:t>
      </w:r>
      <w:r>
        <w:fldChar w:fldCharType="begin"/>
      </w:r>
      <w:r>
        <w:instrText xml:space="preserve"> HYPERLINK "https://vip.1obraz.ru/" \l "/document/16/2227/"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сайте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страница библиотеки с информацией о работе и проводимых мероприятиях  </w:t>
      </w:r>
      <w:r>
        <w:fldChar w:fldCharType="begin"/>
      </w:r>
      <w:r>
        <w:instrText xml:space="preserve"> HYPERLINK "https://vip.1obraz.ru/" \l "/document/16/38785/"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библиотеки МБОУ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 11.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>
      <w:pPr>
        <w:pStyle w:val="1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suppressAutoHyphens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color w:val="222222"/>
          <w:kern w:val="2"/>
          <w:sz w:val="28"/>
          <w:szCs w:val="28"/>
          <w:lang w:eastAsia="ru-RU" w:bidi="hi-IN"/>
        </w:rPr>
        <w:t>IX. Оценка материально-технической базы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lang w:eastAsia="ru-RU" w:bidi="hi-IN"/>
        </w:rPr>
      </w:pPr>
    </w:p>
    <w:p>
      <w:pPr>
        <w:widowControl w:val="0"/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Материально – техническая база обеспечивает эффективный образовательный процесс в школе, представляющий максимальные возможности обучающимся для их полноценного развития. В школе оборудованы 22 учебных кабинета. Для организации учебных и внеурочных занятий имеются: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4 кабинета начальных классов,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3 кабинета русского языка и литературы,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3 кабинета иностранного языка,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математики,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информатики,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истории,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1 кабинет географии,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1 кабинет физики,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химии,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1 кабинет биологии,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1 кабинет музыки, 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2 кабинета технологии,</w:t>
      </w:r>
    </w:p>
    <w:p>
      <w:pPr>
        <w:widowControl w:val="0"/>
        <w:numPr>
          <w:ilvl w:val="0"/>
          <w:numId w:val="10"/>
        </w:numPr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2 мастерских. </w:t>
      </w:r>
    </w:p>
    <w:p>
      <w:pPr>
        <w:widowControl w:val="0"/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Кроме традиционных предметных кабинетов в школе имеется: спортивный зал с раздевалками для девочек и мальчиков, спортивная площадка. Требования техники безопасности к используемым помещениям, оборудованию, инвентарю соблюдаются. Уровень информационно-технического оснащения в школе удовлетворительный.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На цокольном этаже оборудованы столовая и пищеблок.</w:t>
      </w:r>
    </w:p>
    <w:p>
      <w:pPr>
        <w:widowControl w:val="0"/>
        <w:suppressAutoHyphens/>
        <w:spacing w:after="150" w:line="240" w:lineRule="auto"/>
        <w:jc w:val="both"/>
        <w:rPr>
          <w:rFonts w:ascii="Times New Roman" w:hAnsi="Times New Roman" w:eastAsia="NSimSu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eastAsia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Асфальтированная площадка для игр на территории школы оборудована полосой препятствий.</w:t>
      </w:r>
    </w:p>
    <w:p>
      <w:pPr>
        <w:widowControl w:val="0"/>
        <w:suppressAutoHyphens/>
        <w:spacing w:after="150" w:line="240" w:lineRule="auto"/>
        <w:rPr>
          <w:rFonts w:ascii="Arial" w:hAnsi="Arial" w:eastAsia="Times New Roman" w:cs="Arial"/>
          <w:i/>
          <w:iCs/>
          <w:color w:val="222222"/>
          <w:kern w:val="2"/>
          <w:sz w:val="21"/>
          <w:szCs w:val="21"/>
          <w:lang w:eastAsia="ru-RU" w:bidi="hi-IN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приведены по состоянию на 30 декабря 2023 года.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0"/>
        <w:gridCol w:w="1380"/>
        <w:gridCol w:w="17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(7%)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(8%)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(51%)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(13%)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(23%)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(17%)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(100%)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(100%)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22,6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(52%)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</w:tr>
    </w:tbl>
    <w:p>
      <w:pPr>
        <w:pStyle w:val="15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и позволяет реализовывать образовательные программы в полном объеме в соответствии с обновленными ФГОС начального и  общего образования.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B19C3"/>
    <w:multiLevelType w:val="multilevel"/>
    <w:tmpl w:val="10BB19C3"/>
    <w:lvl w:ilvl="0" w:tentative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>
    <w:nsid w:val="131B1807"/>
    <w:multiLevelType w:val="multilevel"/>
    <w:tmpl w:val="131B1807"/>
    <w:lvl w:ilvl="0" w:tentative="0">
      <w:start w:val="1"/>
      <w:numFmt w:val="bullet"/>
      <w:lvlText w:val=""/>
      <w:lvlJc w:val="left"/>
      <w:pPr>
        <w:ind w:left="133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94" w:hanging="360"/>
      </w:pPr>
      <w:rPr>
        <w:rFonts w:hint="default" w:ascii="Wingdings" w:hAnsi="Wingdings"/>
      </w:rPr>
    </w:lvl>
  </w:abstractNum>
  <w:abstractNum w:abstractNumId="2">
    <w:nsid w:val="13C75ABA"/>
    <w:multiLevelType w:val="multilevel"/>
    <w:tmpl w:val="13C75AB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Georgia" w:hAnsi="Georgia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Georgia" w:hAnsi="Georgia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Georgia" w:hAnsi="Georgia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Georgia" w:hAnsi="Georgia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Georgia" w:hAnsi="Georgia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Georgia" w:hAnsi="Georgia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Georgia" w:hAnsi="Georgia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Georgia" w:hAnsi="Georgia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Georgia" w:hAnsi="Georgia"/>
      </w:rPr>
    </w:lvl>
  </w:abstractNum>
  <w:abstractNum w:abstractNumId="3">
    <w:nsid w:val="229D2625"/>
    <w:multiLevelType w:val="multilevel"/>
    <w:tmpl w:val="229D262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Georgia" w:hAnsi="Georgia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Georgia" w:hAnsi="Georgia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Georgia" w:hAnsi="Georgia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Georgia" w:hAnsi="Georgia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Georgia" w:hAnsi="Georgia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Georgia" w:hAnsi="Georgia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Georgia" w:hAnsi="Georgia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Georgia" w:hAnsi="Georgia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Georgia" w:hAnsi="Georgia"/>
      </w:rPr>
    </w:lvl>
  </w:abstractNum>
  <w:abstractNum w:abstractNumId="4">
    <w:nsid w:val="24EB0A5D"/>
    <w:multiLevelType w:val="multilevel"/>
    <w:tmpl w:val="24EB0A5D"/>
    <w:lvl w:ilvl="0" w:tentative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5">
    <w:nsid w:val="35AA0926"/>
    <w:multiLevelType w:val="multilevel"/>
    <w:tmpl w:val="35AA0926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Georgia" w:hAnsi="Georgia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Georgia" w:hAnsi="Georgia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Georgia" w:hAnsi="Georgia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Georgia" w:hAnsi="Georgia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Georgia" w:hAnsi="Georgia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Georgia" w:hAnsi="Georgia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Georgia" w:hAnsi="Georgia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Georgia" w:hAnsi="Georgia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Georgia" w:hAnsi="Georgia"/>
      </w:rPr>
    </w:lvl>
  </w:abstractNum>
  <w:abstractNum w:abstractNumId="6">
    <w:nsid w:val="3A2265F7"/>
    <w:multiLevelType w:val="multilevel"/>
    <w:tmpl w:val="3A2265F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Georgia" w:hAnsi="Georgia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Georgia" w:hAnsi="Georgia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Georgia" w:hAnsi="Georgia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Georgia" w:hAnsi="Georgia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Georgia" w:hAnsi="Georgia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Georgia" w:hAnsi="Georgia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Georgia" w:hAnsi="Georgia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Georgia" w:hAnsi="Georgia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Georgia" w:hAnsi="Georgia"/>
      </w:rPr>
    </w:lvl>
  </w:abstractNum>
  <w:abstractNum w:abstractNumId="7">
    <w:nsid w:val="3ABC01A0"/>
    <w:multiLevelType w:val="multilevel"/>
    <w:tmpl w:val="3ABC01A0"/>
    <w:lvl w:ilvl="0" w:tentative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hint="default" w:ascii="OpenSymbol" w:hAnsi="OpenSymbol" w:cs="OpenSymbol"/>
      </w:rPr>
    </w:lvl>
  </w:abstractNum>
  <w:abstractNum w:abstractNumId="8">
    <w:nsid w:val="5ACC17E9"/>
    <w:multiLevelType w:val="multilevel"/>
    <w:tmpl w:val="5ACC17E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A337A7"/>
    <w:multiLevelType w:val="multilevel"/>
    <w:tmpl w:val="63A337A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Georgia" w:hAnsi="Georgia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Georgia" w:hAnsi="Georgia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Georgia" w:hAnsi="Georgia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Georgia" w:hAnsi="Georgia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Georgia" w:hAnsi="Georgia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Georgia" w:hAnsi="Georgia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Georgia" w:hAnsi="Georgia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Georgia" w:hAnsi="Georgia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Georgia" w:hAnsi="Georg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4D"/>
    <w:rsid w:val="00052AC5"/>
    <w:rsid w:val="00071DA4"/>
    <w:rsid w:val="000A7827"/>
    <w:rsid w:val="000C69C0"/>
    <w:rsid w:val="000F30CB"/>
    <w:rsid w:val="00125F4D"/>
    <w:rsid w:val="00141EED"/>
    <w:rsid w:val="001539D3"/>
    <w:rsid w:val="00181A15"/>
    <w:rsid w:val="001B410A"/>
    <w:rsid w:val="001B5342"/>
    <w:rsid w:val="001D01BB"/>
    <w:rsid w:val="001F57BD"/>
    <w:rsid w:val="002501D3"/>
    <w:rsid w:val="0026142E"/>
    <w:rsid w:val="00264E9E"/>
    <w:rsid w:val="002C69ED"/>
    <w:rsid w:val="002C7AB8"/>
    <w:rsid w:val="00306AC2"/>
    <w:rsid w:val="0037209E"/>
    <w:rsid w:val="003754E1"/>
    <w:rsid w:val="00384855"/>
    <w:rsid w:val="00420660"/>
    <w:rsid w:val="0043084F"/>
    <w:rsid w:val="00496A33"/>
    <w:rsid w:val="00496B68"/>
    <w:rsid w:val="004C4B85"/>
    <w:rsid w:val="004D14F1"/>
    <w:rsid w:val="00545FE5"/>
    <w:rsid w:val="00554CC9"/>
    <w:rsid w:val="00643BB5"/>
    <w:rsid w:val="0066275B"/>
    <w:rsid w:val="00687761"/>
    <w:rsid w:val="00693113"/>
    <w:rsid w:val="006B2F9E"/>
    <w:rsid w:val="006C32EE"/>
    <w:rsid w:val="006F6122"/>
    <w:rsid w:val="007078EF"/>
    <w:rsid w:val="00741BEF"/>
    <w:rsid w:val="00752FA7"/>
    <w:rsid w:val="007701AB"/>
    <w:rsid w:val="007C1BD5"/>
    <w:rsid w:val="007C588E"/>
    <w:rsid w:val="007E2244"/>
    <w:rsid w:val="0082786C"/>
    <w:rsid w:val="00833D72"/>
    <w:rsid w:val="008E4A64"/>
    <w:rsid w:val="009029C6"/>
    <w:rsid w:val="00926847"/>
    <w:rsid w:val="00952FEA"/>
    <w:rsid w:val="009B152F"/>
    <w:rsid w:val="009F18AA"/>
    <w:rsid w:val="00A02C12"/>
    <w:rsid w:val="00A20E27"/>
    <w:rsid w:val="00A50073"/>
    <w:rsid w:val="00A6308C"/>
    <w:rsid w:val="00A94D1A"/>
    <w:rsid w:val="00AA7B14"/>
    <w:rsid w:val="00AD008C"/>
    <w:rsid w:val="00AD502B"/>
    <w:rsid w:val="00B25558"/>
    <w:rsid w:val="00BA51AC"/>
    <w:rsid w:val="00C413E5"/>
    <w:rsid w:val="00CA6DA0"/>
    <w:rsid w:val="00CB28EC"/>
    <w:rsid w:val="00CC3C4C"/>
    <w:rsid w:val="00CD6756"/>
    <w:rsid w:val="00CE541F"/>
    <w:rsid w:val="00D03C9D"/>
    <w:rsid w:val="00D537E8"/>
    <w:rsid w:val="00D64B32"/>
    <w:rsid w:val="00D82D8E"/>
    <w:rsid w:val="00DA5ED6"/>
    <w:rsid w:val="00E0063A"/>
    <w:rsid w:val="00E324A2"/>
    <w:rsid w:val="00E55902"/>
    <w:rsid w:val="00E67C57"/>
    <w:rsid w:val="00EB28E9"/>
    <w:rsid w:val="00EB5091"/>
    <w:rsid w:val="00F370BF"/>
    <w:rsid w:val="00F56B24"/>
    <w:rsid w:val="5E9F055D"/>
    <w:rsid w:val="6CB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autoRedefine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autoRedefine/>
    <w:qFormat/>
    <w:uiPriority w:val="22"/>
    <w:rPr>
      <w:b/>
      <w:bCs/>
    </w:rPr>
  </w:style>
  <w:style w:type="paragraph" w:styleId="7">
    <w:name w:val="Balloon Text"/>
    <w:basedOn w:val="1"/>
    <w:link w:val="13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ill"/>
    <w:basedOn w:val="2"/>
    <w:autoRedefine/>
    <w:qFormat/>
    <w:uiPriority w:val="0"/>
  </w:style>
  <w:style w:type="character" w:customStyle="1" w:styleId="11">
    <w:name w:val="sfwc"/>
    <w:basedOn w:val="2"/>
    <w:autoRedefine/>
    <w:qFormat/>
    <w:uiPriority w:val="0"/>
  </w:style>
  <w:style w:type="character" w:customStyle="1" w:styleId="12">
    <w:name w:val="matches"/>
    <w:basedOn w:val="2"/>
    <w:autoRedefine/>
    <w:qFormat/>
    <w:uiPriority w:val="0"/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6">
    <w:name w:val="Сетка таблицы1"/>
    <w:basedOn w:val="3"/>
    <w:qFormat/>
    <w:uiPriority w:val="59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3"/>
    <w:basedOn w:val="3"/>
    <w:autoRedefine/>
    <w:qFormat/>
    <w:uiPriority w:val="59"/>
    <w:rPr>
      <w:rFonts w:eastAsiaTheme="minorEastAsi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markedcontent"/>
    <w:basedOn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E582-FB0B-478D-B448-4A34FC49E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5752</Words>
  <Characters>32793</Characters>
  <Lines>273</Lines>
  <Paragraphs>76</Paragraphs>
  <TotalTime>20</TotalTime>
  <ScaleCrop>false</ScaleCrop>
  <LinksUpToDate>false</LinksUpToDate>
  <CharactersWithSpaces>38469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2024-04-25T18:14:00Z</dcterms:created>
  <dc:creator>xxx</dc:creator>
  <cp:lastModifiedBy>Дмитрий Трушов</cp:lastModifiedBy>
  <cp:lastPrinted>2024-04-25T10:50:00Z</cp:lastPrinted>
  <dcterms:modified xsi:type="dcterms:W3CDTF">2024-04-25T18:44:41Z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3AFA714445834287AE1119FFF643CF63</vt:lpwstr>
  </property>
</Properties>
</file>